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>
      <v:fill r:id="rId3" o:title="Duże konfetti" type="pattern"/>
    </v:background>
  </w:background>
  <w:body>
    <w:p w:rsidR="00D705BA" w:rsidRDefault="00D705BA" w:rsidP="00D705BA">
      <w:pPr>
        <w:spacing w:before="100" w:beforeAutospacing="1" w:after="100" w:afterAutospacing="1" w:line="225" w:lineRule="atLeast"/>
        <w:jc w:val="center"/>
        <w:rPr>
          <w:rStyle w:val="Nagwek2Znak"/>
          <w:lang w:eastAsia="pl-PL"/>
        </w:rPr>
      </w:pPr>
    </w:p>
    <w:p w:rsidR="004C57C5" w:rsidRPr="00AE3759" w:rsidRDefault="008336CB" w:rsidP="00AE3759">
      <w:pPr>
        <w:spacing w:before="100" w:beforeAutospacing="1" w:after="100" w:afterAutospacing="1" w:line="225" w:lineRule="atLeast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8336CB">
        <w:rPr>
          <w:rStyle w:val="Nagwek2Znak"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5pt;height:44pt" fillcolor="#404040 [2429]" stroked="f">
            <v:shadow on="t" color="#b2b2b2" opacity="52429f" offset="3pt"/>
            <v:textpath style="font-family:&quot;Times New Roman&quot;;font-size:24pt" fitshape="t" trim="t" string="Postępowanie w przypadku stwierdzenia wszawicy &#10;w placówce pobytu dzieci"/>
          </v:shape>
        </w:pict>
      </w:r>
    </w:p>
    <w:p w:rsidR="001C42E0" w:rsidRPr="00D705BA" w:rsidRDefault="00DC33D8" w:rsidP="001C42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34315E"/>
          <w:lang w:eastAsia="pl-PL"/>
        </w:rPr>
        <w:drawing>
          <wp:inline distT="0" distB="0" distL="0" distR="0">
            <wp:extent cx="695325" cy="903321"/>
            <wp:effectExtent l="38100" t="19050" r="295275" b="277779"/>
            <wp:docPr id="2" name="Obraz 28" descr="C:\Users\m.frankowska\Pictures\canstock296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.frankowska\Pictures\canstock2969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33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Dyrektor placówki zarządza dokonanie przez pielęgniarkę lub osobę upoważnioną kontroli czystości skóry głowy wszystkich dzieci grupie lub klasie oraz wszystkich pracowników szkoły lub placówki,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z zachowaniem zasady intymności (kontrola indywidualna w wydzielonym pomieszczeniu). Kontrola może również zostać przeprowadzona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z inicjatywy pielęgniarki lub higienistki szkolnej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.</w:t>
      </w:r>
    </w:p>
    <w:p w:rsidR="007F59EA" w:rsidRPr="001C42E0" w:rsidRDefault="007F59EA" w:rsidP="001C42E0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1C42E0" w:rsidRPr="00D705BA" w:rsidRDefault="00440F20" w:rsidP="001C42E0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34315E"/>
          <w:lang w:eastAsia="pl-PL"/>
        </w:rPr>
        <w:drawing>
          <wp:inline distT="0" distB="0" distL="0" distR="0">
            <wp:extent cx="655059" cy="819150"/>
            <wp:effectExtent l="57150" t="19050" r="297441" b="247650"/>
            <wp:docPr id="29" name="Obraz 29" descr="C:\Users\m.frankowska\Pictures\canstock66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.frankowska\Pictures\canstock6685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9" cy="819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Pielęgniarka (lub w sytuacji braku pielęgniarki lub higienistki szkolnej 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br/>
        <w:t xml:space="preserve">w placówce - 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opiekun dziecka) zawiadamia rodziców dzieci,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działań; jednocześnie informuje dyrektora placówki o wynikach kontroli i skali zjawiska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.</w:t>
      </w:r>
    </w:p>
    <w:p w:rsidR="007F59EA" w:rsidRDefault="007F59EA" w:rsidP="001C42E0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1C42E0" w:rsidRPr="00D705BA" w:rsidRDefault="00440F20" w:rsidP="00440F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pl-PL"/>
        </w:rPr>
      </w:pPr>
      <w:r w:rsidRPr="00D705BA">
        <w:rPr>
          <w:rFonts w:ascii="Verdana" w:eastAsia="Times New Roman" w:hAnsi="Verdana" w:cs="Times New Roman"/>
          <w:b/>
          <w:noProof/>
          <w:color w:val="34315E"/>
          <w:sz w:val="24"/>
          <w:szCs w:val="24"/>
          <w:lang w:eastAsia="pl-PL"/>
        </w:rPr>
        <w:drawing>
          <wp:inline distT="0" distB="0" distL="0" distR="0">
            <wp:extent cx="655320" cy="847725"/>
            <wp:effectExtent l="57150" t="19050" r="316230" b="257175"/>
            <wp:docPr id="4" name="Obraz 29" descr="C:\Users\m.frankowska\Pictures\canstock66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.frankowska\Pictures\canstock6685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7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D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yrektor lub upoważniona osoba (nauczyciel lub opiekun) informuje wszystkich rodziców o stwierdzeniu wszawicy w grupie dzieci,</w:t>
      </w:r>
      <w:r w:rsidR="005D7DD7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z zaleceniem codziennej kontroli czystości głowy dziecka oraz czystości głów domowników</w:t>
      </w:r>
      <w:r w:rsidR="004C57C5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.</w:t>
      </w:r>
    </w:p>
    <w:p w:rsidR="007F59EA" w:rsidRDefault="007F59EA" w:rsidP="001C42E0">
      <w:pPr>
        <w:spacing w:after="0" w:line="240" w:lineRule="auto"/>
        <w:jc w:val="both"/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</w:pPr>
    </w:p>
    <w:p w:rsidR="001C42E0" w:rsidRPr="00AE3759" w:rsidRDefault="00440F20" w:rsidP="001C42E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34315E"/>
          <w:lang w:eastAsia="pl-PL"/>
        </w:rPr>
        <w:drawing>
          <wp:inline distT="0" distB="0" distL="0" distR="0">
            <wp:extent cx="695325" cy="933450"/>
            <wp:effectExtent l="38100" t="19050" r="295275" b="266700"/>
            <wp:docPr id="37" name="Obraz 37" descr="C:\Users\m.frankowska\Pictures\canstock354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.frankowska\Pictures\canstock3548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W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przypadku, gdy rodzice zgłoszą trudności w przeprowadzeniu kuracji (np. brak środków na zakup preparatu), dyrektor szkoły lub placówki we współpracy 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br/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z ośrodkiem pomocy społecznej, udzielają rodzicom lub opiekunom niezbędnej pomocy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.</w:t>
      </w:r>
    </w:p>
    <w:p w:rsidR="001C42E0" w:rsidRPr="00AE3759" w:rsidRDefault="00440F20" w:rsidP="00440F2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D7DD7">
        <w:rPr>
          <w:rFonts w:ascii="Verdana" w:eastAsia="Times New Roman" w:hAnsi="Verdana" w:cs="Times New Roman"/>
          <w:b/>
          <w:noProof/>
          <w:lang w:eastAsia="pl-PL"/>
        </w:rPr>
        <w:lastRenderedPageBreak/>
        <w:drawing>
          <wp:inline distT="0" distB="0" distL="0" distR="0">
            <wp:extent cx="688136" cy="884555"/>
            <wp:effectExtent l="38100" t="19050" r="302464" b="258445"/>
            <wp:docPr id="8" name="Obraz 28" descr="C:\Users\m.frankowska\Pictures\canstock296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.frankowska\Pictures\canstock2969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5" cy="8842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P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ielęgniarka lub h</w:t>
      </w:r>
      <w:r w:rsidR="00103043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igienistka szkolna po upływie 7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-10 dni kontroluje stan czystości skóry głowy dzieci po przeprowadzonych zabiegach higienicznych przez rodziców</w:t>
      </w:r>
      <w:r w:rsid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.</w:t>
      </w:r>
    </w:p>
    <w:p w:rsidR="007F59EA" w:rsidRPr="00AE3759" w:rsidRDefault="00440F20" w:rsidP="00CE78B9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</w:pPr>
      <w:r w:rsidRPr="00440F20">
        <w:rPr>
          <w:rFonts w:ascii="Verdana" w:eastAsia="Times New Roman" w:hAnsi="Verdana" w:cs="Times New Roman"/>
          <w:noProof/>
          <w:lang w:eastAsia="pl-PL"/>
        </w:rPr>
        <w:drawing>
          <wp:inline distT="0" distB="0" distL="0" distR="0">
            <wp:extent cx="676275" cy="923925"/>
            <wp:effectExtent l="38100" t="19050" r="314325" b="276225"/>
            <wp:docPr id="3" name="Obraz 37" descr="C:\Users\m.frankowska\Pictures\canstock354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.frankowska\Pictures\canstock3548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W</w:t>
      </w:r>
      <w:r w:rsidR="001C42E0" w:rsidRPr="00D705BA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 xml:space="preserve"> sytuacji stwierdzenia nieskuteczności zalecanych działań, pielęgniarka zawiadamia o tym dyrektora placówki w celu podjęcia bardziej radykalnych kroków (zawiadomienie ośrodka pomocy społecznej o konieczności wzmożenia nadzoru nad realizacją funkcji opiekuńczych przez rodziców dziecka oraz udzielenia potrzebnego wsparcia).</w:t>
      </w:r>
    </w:p>
    <w:p w:rsidR="00A717F5" w:rsidRPr="00F707CD" w:rsidRDefault="002F3384" w:rsidP="00CE78B9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222222"/>
          <w:lang w:eastAsia="pl-PL"/>
        </w:rPr>
        <w:drawing>
          <wp:inline distT="0" distB="0" distL="0" distR="0">
            <wp:extent cx="674370" cy="674370"/>
            <wp:effectExtent l="38100" t="0" r="11430" b="182880"/>
            <wp:docPr id="5" name="Obraz 2" descr="C:\Users\m.frankowska\Pictures\tasto_10_architetto_fran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frankowska\Pictures\tasto_10_architetto_fran_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707CD" w:rsidRPr="00F707CD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>Ważne</w:t>
      </w:r>
      <w:r w:rsidR="00F707CD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 xml:space="preserve">, by opiekunowie pozwolili rodzicom doświadczyć, że to, co do nich mówią, jest informacją – a nie oceną. Jak mówią specjaliści, nie można wskazać jednoznacznie pierwotnego źródła wszawicy. Warto więc świadomie rezygnować </w:t>
      </w:r>
      <w:r w:rsidR="004C57C5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br/>
      </w:r>
      <w:r w:rsidR="00F707CD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>z myślenia typu: „pewnie zaczęło się od …”</w:t>
      </w:r>
      <w:r w:rsidR="004C57C5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>.</w:t>
      </w:r>
    </w:p>
    <w:p w:rsidR="00AE3759" w:rsidRPr="00AE3759" w:rsidRDefault="00AE3759" w:rsidP="00AE3759">
      <w:pPr>
        <w:pStyle w:val="Default"/>
        <w:jc w:val="both"/>
        <w:rPr>
          <w:rFonts w:ascii="Tahoma" w:hAnsi="Tahoma" w:cs="Tahoma"/>
          <w:i/>
          <w:sz w:val="23"/>
          <w:szCs w:val="23"/>
        </w:rPr>
      </w:pPr>
      <w:r w:rsidRPr="00AE3759">
        <w:rPr>
          <w:rFonts w:ascii="Tahoma" w:hAnsi="Tahoma" w:cs="Tahoma"/>
          <w:i/>
          <w:noProof/>
          <w:lang w:eastAsia="pl-PL"/>
        </w:rPr>
        <w:drawing>
          <wp:inline distT="0" distB="0" distL="0" distR="0">
            <wp:extent cx="540613" cy="742950"/>
            <wp:effectExtent l="57150" t="19050" r="316637" b="247650"/>
            <wp:docPr id="1" name="Obraz 29" descr="C:\Users\m.frankowska\Pictures\canstock66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.frankowska\Pictures\canstock6685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8" cy="7292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AE3759">
        <w:rPr>
          <w:rFonts w:ascii="Tahoma" w:hAnsi="Tahoma" w:cs="Tahoma"/>
          <w:i/>
        </w:rPr>
        <w:t xml:space="preserve">Z dniem wejścia w życie ustawy z dnia 5 grudnia 2008r. o zapobieganiu </w:t>
      </w:r>
      <w:r w:rsidRPr="00AE3759">
        <w:rPr>
          <w:rFonts w:ascii="Tahoma" w:hAnsi="Tahoma" w:cs="Tahoma"/>
          <w:i/>
        </w:rPr>
        <w:br/>
        <w:t xml:space="preserve">i zwalczaniu zakażeń  i chorób zakaźnych u ludzi (Dz. U. 2008 Nr 234, poz. 1570 ze zm.), tj. od 1 stycznia 2009r., </w:t>
      </w:r>
      <w:r w:rsidRPr="00AE3759">
        <w:rPr>
          <w:rFonts w:ascii="Tahoma" w:hAnsi="Tahoma" w:cs="Tahoma"/>
          <w:b/>
          <w:bCs/>
          <w:i/>
        </w:rPr>
        <w:t>wszawica nie jest zaliczana do chorób zaka</w:t>
      </w:r>
      <w:r w:rsidRPr="00AE3759">
        <w:rPr>
          <w:rFonts w:ascii="Tahoma" w:hAnsi="Tahoma" w:cs="Tahoma"/>
          <w:i/>
        </w:rPr>
        <w:t>ź</w:t>
      </w:r>
      <w:r w:rsidRPr="00AE3759">
        <w:rPr>
          <w:rFonts w:ascii="Tahoma" w:hAnsi="Tahoma" w:cs="Tahoma"/>
          <w:b/>
          <w:bCs/>
          <w:i/>
        </w:rPr>
        <w:t xml:space="preserve">nych </w:t>
      </w:r>
      <w:r w:rsidRPr="00AE3759">
        <w:rPr>
          <w:rFonts w:ascii="Tahoma" w:hAnsi="Tahoma" w:cs="Tahoma"/>
          <w:i/>
        </w:rPr>
        <w:t xml:space="preserve">i w razie jej rozpoznania nie istnieje obowiązek zgłoszenia tego faktu właściwemu ze względu na miejsce zachorowania państwowemu powiatowemu inspektorowi sanitarnemu, a co za tym idzie - brak jest możliwości wydania decyzji administracyjnej nakazującej podejrzanemu o wszawicę wstrzymanie się od uczęszczania do szkoły. W sytuacji zachorowania na wszawicę należy kierować się przede wszystkim dobrem chorego dziecka oraz dobrem pozostałych dzieci. Zapewnienie bezpiecznych </w:t>
      </w:r>
      <w:r w:rsidRPr="00AE3759">
        <w:rPr>
          <w:rFonts w:ascii="Tahoma" w:hAnsi="Tahoma" w:cs="Tahoma"/>
          <w:i/>
        </w:rPr>
        <w:br/>
        <w:t xml:space="preserve">i higienicznych warunków pobytu w szkole, zgodnie z § 2 rozporządzenia Ministra Edukacji Narodowej i Sportu z dnia 31 grudnia 2002r. w sprawie bezpieczeństwa i higieny w publicznych </w:t>
      </w:r>
      <w:r w:rsidRPr="00AE3759">
        <w:rPr>
          <w:rFonts w:ascii="Tahoma" w:hAnsi="Tahoma" w:cs="Tahoma"/>
          <w:i/>
        </w:rPr>
        <w:br/>
        <w:t>i niepublicznych szkołach i placówkach (Dz. U. 2003 Nr 6, poz. 69 z późn. zm.) pozostaje obowiązkiem dyrektora szkoły. W przypadku podejrzenia wystąpienia wszawicy u uczniów dyrektor danej placówki powinien podjąć wszelkie możliwe działania, które będą skutkować jej wyeliminowaniem (powiadomienie rodziców, organizowanie spotkań informacyjnych, itp.).</w:t>
      </w:r>
    </w:p>
    <w:p w:rsidR="00AE3759" w:rsidRPr="00AE3759" w:rsidRDefault="00AE3759" w:rsidP="00AE3759">
      <w:pPr>
        <w:spacing w:before="100" w:beforeAutospacing="1" w:after="100" w:afterAutospacing="1" w:line="225" w:lineRule="atLeast"/>
        <w:jc w:val="both"/>
        <w:rPr>
          <w:color w:val="404040" w:themeColor="text1" w:themeTint="BF"/>
          <w:u w:val="single"/>
        </w:rPr>
      </w:pPr>
      <w:r w:rsidRPr="007F59EA">
        <w:rPr>
          <w:rFonts w:ascii="Verdana" w:eastAsia="Times New Roman" w:hAnsi="Verdana" w:cs="Times New Roman"/>
          <w:color w:val="404040" w:themeColor="text1" w:themeTint="BF"/>
          <w:sz w:val="20"/>
          <w:szCs w:val="20"/>
          <w:u w:val="single"/>
          <w:lang w:eastAsia="pl-PL"/>
        </w:rPr>
        <w:t xml:space="preserve">źródło: </w:t>
      </w:r>
      <w:hyperlink r:id="rId12" w:history="1">
        <w:r w:rsidRPr="007F59EA">
          <w:rPr>
            <w:rStyle w:val="Hipercze"/>
            <w:color w:val="404040" w:themeColor="text1" w:themeTint="BF"/>
          </w:rPr>
          <w:t>http://www.mz.gov.pl/wwwmz/index?mr=m15&amp;ms=739&amp;ml=pl&amp;mi=739&amp;mx=0&amp;ma=31400</w:t>
        </w:r>
      </w:hyperlink>
    </w:p>
    <w:sectPr w:rsidR="00AE3759" w:rsidRPr="00AE3759" w:rsidSect="00D705BA">
      <w:footerReference w:type="default" r:id="rId13"/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0D" w:rsidRDefault="005B420D" w:rsidP="00103043">
      <w:pPr>
        <w:spacing w:after="0" w:line="240" w:lineRule="auto"/>
      </w:pPr>
      <w:r>
        <w:separator/>
      </w:r>
    </w:p>
  </w:endnote>
  <w:endnote w:type="continuationSeparator" w:id="0">
    <w:p w:rsidR="005B420D" w:rsidRDefault="005B420D" w:rsidP="0010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43" w:rsidRDefault="0010304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03043">
      <w:rPr>
        <w:rFonts w:asciiTheme="majorHAnsi" w:hAnsiTheme="majorHAnsi"/>
        <w:sz w:val="16"/>
        <w:szCs w:val="16"/>
      </w:rPr>
      <w:t>ODDZIAŁ EDUKACJI ZDROWO</w:t>
    </w:r>
    <w:r>
      <w:rPr>
        <w:rFonts w:asciiTheme="majorHAnsi" w:hAnsiTheme="majorHAnsi"/>
        <w:sz w:val="16"/>
        <w:szCs w:val="16"/>
      </w:rPr>
      <w:t>TNEJ I HIGIENY DZIECI I MŁODZIEŻ</w:t>
    </w:r>
    <w:r w:rsidRPr="00103043">
      <w:rPr>
        <w:rFonts w:asciiTheme="majorHAnsi" w:hAnsiTheme="majorHAnsi"/>
        <w:sz w:val="16"/>
        <w:szCs w:val="16"/>
      </w:rPr>
      <w:t>Y WSSE W KRAKOWIE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717F5" w:rsidRPr="00A717F5">
        <w:rPr>
          <w:rFonts w:asciiTheme="majorHAnsi" w:hAnsiTheme="majorHAnsi"/>
          <w:noProof/>
        </w:rPr>
        <w:t>2</w:t>
      </w:r>
    </w:fldSimple>
  </w:p>
  <w:p w:rsidR="00103043" w:rsidRDefault="00103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0D" w:rsidRDefault="005B420D" w:rsidP="00103043">
      <w:pPr>
        <w:spacing w:after="0" w:line="240" w:lineRule="auto"/>
      </w:pPr>
      <w:r>
        <w:separator/>
      </w:r>
    </w:p>
  </w:footnote>
  <w:footnote w:type="continuationSeparator" w:id="0">
    <w:p w:rsidR="005B420D" w:rsidRDefault="005B420D" w:rsidP="0010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B9"/>
    <w:rsid w:val="00040606"/>
    <w:rsid w:val="00103043"/>
    <w:rsid w:val="001C42E0"/>
    <w:rsid w:val="002F3384"/>
    <w:rsid w:val="00365451"/>
    <w:rsid w:val="00440F20"/>
    <w:rsid w:val="004C57C5"/>
    <w:rsid w:val="005149AF"/>
    <w:rsid w:val="00542CBE"/>
    <w:rsid w:val="005B420D"/>
    <w:rsid w:val="005D7DD7"/>
    <w:rsid w:val="006A1055"/>
    <w:rsid w:val="00770503"/>
    <w:rsid w:val="007B30BC"/>
    <w:rsid w:val="007F59EA"/>
    <w:rsid w:val="008336CB"/>
    <w:rsid w:val="00A717F5"/>
    <w:rsid w:val="00AE3759"/>
    <w:rsid w:val="00B0528F"/>
    <w:rsid w:val="00BC14D5"/>
    <w:rsid w:val="00C46A0F"/>
    <w:rsid w:val="00CE2784"/>
    <w:rsid w:val="00CE78B9"/>
    <w:rsid w:val="00D705BA"/>
    <w:rsid w:val="00DC33D8"/>
    <w:rsid w:val="00DD2E45"/>
    <w:rsid w:val="00E528BF"/>
    <w:rsid w:val="00F54EAF"/>
    <w:rsid w:val="00F7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B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archiwumtytul">
    <w:name w:val="ma_archiwum_tytul"/>
    <w:basedOn w:val="Normalny"/>
    <w:rsid w:val="00CE78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149A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043"/>
  </w:style>
  <w:style w:type="paragraph" w:styleId="Stopka">
    <w:name w:val="footer"/>
    <w:basedOn w:val="Normalny"/>
    <w:link w:val="StopkaZnak"/>
    <w:uiPriority w:val="99"/>
    <w:unhideWhenUsed/>
    <w:rsid w:val="0010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43"/>
  </w:style>
  <w:style w:type="paragraph" w:customStyle="1" w:styleId="Default">
    <w:name w:val="Default"/>
    <w:rsid w:val="00AE37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94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60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AABD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yperlink" Target="http://www.mz.gov.pl/wwwmz/index?mr=m15&amp;ms=739&amp;ml=pl&amp;mi=739&amp;mx=0&amp;ma=314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449C-EFD1-437E-BAFA-36ADA72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9</cp:revision>
  <dcterms:created xsi:type="dcterms:W3CDTF">2013-12-09T17:05:00Z</dcterms:created>
  <dcterms:modified xsi:type="dcterms:W3CDTF">2013-12-09T19:55:00Z</dcterms:modified>
</cp:coreProperties>
</file>